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2F17CC" w14:textId="77777777" w:rsidR="005D4129" w:rsidRDefault="005D4129">
      <w:pPr>
        <w:spacing w:after="1200"/>
      </w:pPr>
    </w:p>
    <w:p w14:paraId="2DB0CBAC" w14:textId="77777777" w:rsidR="005D4129" w:rsidRDefault="00000000">
      <w:pPr>
        <w:spacing w:after="40"/>
        <w:jc w:val="center"/>
      </w:pPr>
      <w:r>
        <w:rPr>
          <w:b/>
          <w:bCs/>
          <w:color w:val="B08D57"/>
          <w:spacing w:val="20"/>
          <w:sz w:val="22"/>
          <w:szCs w:val="22"/>
        </w:rPr>
        <w:t>CATÓLICA DENTAL ACADEMY (CDA)</w:t>
      </w:r>
    </w:p>
    <w:p w14:paraId="728241CD" w14:textId="77777777" w:rsidR="005D4129" w:rsidRDefault="00000000">
      <w:pPr>
        <w:spacing w:after="40"/>
        <w:jc w:val="center"/>
      </w:pPr>
      <w:r>
        <w:rPr>
          <w:b/>
          <w:bCs/>
          <w:color w:val="1F3864"/>
          <w:spacing w:val="20"/>
          <w:sz w:val="22"/>
          <w:szCs w:val="22"/>
        </w:rPr>
        <w:t>FACULDADE DE MEDICINA DENTÁRIA</w:t>
      </w:r>
    </w:p>
    <w:p w14:paraId="0A2337C8" w14:textId="77777777" w:rsidR="005D4129" w:rsidRDefault="00000000">
      <w:pPr>
        <w:spacing w:after="40"/>
        <w:jc w:val="center"/>
      </w:pPr>
      <w:r>
        <w:rPr>
          <w:color w:val="666666"/>
          <w:spacing w:val="20"/>
          <w:sz w:val="18"/>
          <w:szCs w:val="18"/>
        </w:rPr>
        <w:t>UNIVERSIDADE CATÓLICA PORTUGUESA</w:t>
      </w:r>
    </w:p>
    <w:p w14:paraId="041FB320" w14:textId="77777777" w:rsidR="005D4129" w:rsidRDefault="005D4129">
      <w:pPr>
        <w:spacing w:after="500"/>
      </w:pPr>
    </w:p>
    <w:p w14:paraId="4F278055" w14:textId="77777777" w:rsidR="005D4129" w:rsidRDefault="00000000">
      <w:pPr>
        <w:spacing w:after="200"/>
        <w:jc w:val="center"/>
      </w:pPr>
      <w:r>
        <w:rPr>
          <w:b/>
          <w:bCs/>
          <w:color w:val="1F3864"/>
          <w:spacing w:val="30"/>
          <w:sz w:val="32"/>
          <w:szCs w:val="32"/>
        </w:rPr>
        <w:t>MICROCREDENCIAL</w:t>
      </w:r>
    </w:p>
    <w:p w14:paraId="39730F13" w14:textId="77777777" w:rsidR="005D4129" w:rsidRDefault="005D4129">
      <w:pPr>
        <w:spacing w:after="200"/>
      </w:pPr>
    </w:p>
    <w:p w14:paraId="0E162FB6" w14:textId="77777777" w:rsidR="005D4129" w:rsidRDefault="00000000">
      <w:pPr>
        <w:spacing w:after="100"/>
        <w:jc w:val="center"/>
      </w:pPr>
      <w:r>
        <w:rPr>
          <w:b/>
          <w:bCs/>
          <w:color w:val="B08D57"/>
          <w:sz w:val="40"/>
          <w:szCs w:val="40"/>
        </w:rPr>
        <w:t>Técnicas e Materiais de Obturação em Endodontia</w:t>
      </w:r>
    </w:p>
    <w:p w14:paraId="04310A80" w14:textId="77777777" w:rsidR="005D4129" w:rsidRDefault="00000000">
      <w:r>
        <w:br w:type="page"/>
      </w:r>
    </w:p>
    <w:p w14:paraId="686C7882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lastRenderedPageBreak/>
        <w:t>FICHA TÉCNICA DA MICROCREDENCIAL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5D4129" w14:paraId="2DD9307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81348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Título da Microcredencial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E874E4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Técnicas e Materiais de Obturação em Endodontia</w:t>
            </w:r>
          </w:p>
        </w:tc>
      </w:tr>
      <w:tr w:rsidR="005D4129" w14:paraId="4322340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24EC59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Área Científica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8BBEC4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Medicina Dentária</w:t>
            </w:r>
          </w:p>
        </w:tc>
      </w:tr>
      <w:tr w:rsidR="005D4129" w14:paraId="31276C0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2DC11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Coordenação Científica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3144C1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Professora Doutora Rita Noites</w:t>
            </w:r>
          </w:p>
        </w:tc>
      </w:tr>
      <w:tr w:rsidR="005D4129" w14:paraId="31E2F7A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7AF5E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ECTS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BF81CA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2 ECTS</w:t>
            </w:r>
          </w:p>
        </w:tc>
      </w:tr>
      <w:tr w:rsidR="005D4129" w14:paraId="6A74945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439044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Horas de Contacto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26F4D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16 horas</w:t>
            </w:r>
          </w:p>
        </w:tc>
      </w:tr>
      <w:tr w:rsidR="005D4129" w14:paraId="1997306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6BD6BA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Horas Totais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19607B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50 horas</w:t>
            </w:r>
          </w:p>
        </w:tc>
      </w:tr>
      <w:tr w:rsidR="005D4129" w14:paraId="76889B8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2840C5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Resultados de Aprendizagem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49BA9B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 xml:space="preserve">No final da microcredencial, o formando será capaz de compreender os princípios biológicos e biomecânicos da obturação do sistema de canais radiculares; identificar os diferentes materiais e técnicas de obturação utilizados em Endodontia; selecionar a técnica de obturação mais adequada em função da anatomia </w:t>
            </w:r>
            <w:proofErr w:type="spellStart"/>
            <w:r>
              <w:rPr>
                <w:color w:val="222222"/>
                <w:sz w:val="19"/>
                <w:szCs w:val="19"/>
              </w:rPr>
              <w:t>canalar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e da situação clínica; executar protocolos de obturação utilizando diferentes técnicas e materiais; avaliar a qualidade da obturação através de critérios clínicos e radiográficos; prevenir e gerir complicações associadas aos procedimentos de obturação; e integrar a evidência científica na seleção dos materiais e técnicas de obturação endodôntica.</w:t>
            </w:r>
          </w:p>
        </w:tc>
      </w:tr>
      <w:tr w:rsidR="005D4129" w14:paraId="4DA3ADA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C2A3D7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Modalidade de Ensino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14523C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Presencial</w:t>
            </w:r>
          </w:p>
        </w:tc>
      </w:tr>
      <w:tr w:rsidR="005D4129" w14:paraId="1DB1DC3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48A732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Modalidade de Avaliação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42FB5C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Qualitativa</w:t>
            </w:r>
          </w:p>
        </w:tc>
      </w:tr>
      <w:tr w:rsidR="005D4129" w14:paraId="7EC959E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5A74D0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Nível QEQ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401DEF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Nível 7</w:t>
            </w:r>
          </w:p>
        </w:tc>
      </w:tr>
      <w:tr w:rsidR="005D4129" w14:paraId="1F9DD55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89D07A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Nível CITE/CNAEF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F9396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CNAEF 724 – Ciências Dentárias</w:t>
            </w:r>
          </w:p>
        </w:tc>
      </w:tr>
      <w:tr w:rsidR="005D4129" w14:paraId="0A1C02A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0DF0AE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Idioma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6EBAD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Português (podendo integrar sessões ou recursos em Inglês)</w:t>
            </w:r>
          </w:p>
        </w:tc>
      </w:tr>
      <w:tr w:rsidR="005D4129" w14:paraId="522AF56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9D5F22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Vagas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7963B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15 vagas</w:t>
            </w:r>
          </w:p>
        </w:tc>
      </w:tr>
      <w:tr w:rsidR="005D4129" w14:paraId="7A83FB6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1645F1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Regime de Funcionamento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86053E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Laboral e Pós-laboral, em regime presencial.</w:t>
            </w:r>
          </w:p>
        </w:tc>
      </w:tr>
      <w:tr w:rsidR="005D4129" w14:paraId="7540EEB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5197FC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Percurso Associado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05D1D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Pós-Graduação em Endodontia</w:t>
            </w:r>
          </w:p>
        </w:tc>
      </w:tr>
      <w:tr w:rsidR="005D4129" w14:paraId="6797121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129967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Creditação Adicional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3E3CC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Creditável em programas de Pós-Graduação, Formação Avançada e Percursos Modulares da CDA, mediante regulamento aplicável.</w:t>
            </w:r>
          </w:p>
        </w:tc>
      </w:tr>
      <w:tr w:rsidR="005D4129" w14:paraId="4A3791E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9D649B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Certificação Emitida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2951E6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Certificado Digital de Microcredencial correspondente a 2 ECTS.</w:t>
            </w:r>
          </w:p>
        </w:tc>
      </w:tr>
      <w:tr w:rsidR="005D4129" w14:paraId="582FC32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4872F" w14:textId="77777777" w:rsidR="005D4129" w:rsidRDefault="00000000">
            <w:pPr>
              <w:spacing w:after="30"/>
            </w:pPr>
            <w:r>
              <w:rPr>
                <w:b/>
                <w:bCs/>
                <w:color w:val="1F3864"/>
                <w:sz w:val="19"/>
                <w:szCs w:val="19"/>
              </w:rPr>
              <w:t>Mecanismos de Garantia da Qualidade</w:t>
            </w:r>
          </w:p>
        </w:tc>
        <w:tc>
          <w:tcPr>
            <w:tcW w:w="66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22E81E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Avaliação pedagógica pelos formandos, monitorização científica dos conteúdos, revisão periódica da estrutura curricular, acompanhamento dos indicadores de participação e sucesso, e integração no Sistema Interno de Garantia da Qualidade (SIGQ) da FMD-UCP.</w:t>
            </w:r>
          </w:p>
        </w:tc>
      </w:tr>
    </w:tbl>
    <w:p w14:paraId="3B5DA8F9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1. ENQUADRAMENTO</w:t>
      </w:r>
    </w:p>
    <w:p w14:paraId="13282616" w14:textId="77777777" w:rsidR="005D4129" w:rsidRDefault="00000000">
      <w:pPr>
        <w:spacing w:after="140"/>
        <w:jc w:val="both"/>
      </w:pPr>
      <w:r>
        <w:rPr>
          <w:color w:val="222222"/>
        </w:rPr>
        <w:t xml:space="preserve">A presente microcredencial Técnicas e Materiais de Obturação em Endodontia integra o modelo pedagógico InovPed da Católica Dental </w:t>
      </w:r>
      <w:proofErr w:type="spellStart"/>
      <w:r>
        <w:rPr>
          <w:color w:val="222222"/>
        </w:rPr>
        <w:t>Academy</w:t>
      </w:r>
      <w:proofErr w:type="spellEnd"/>
      <w:r>
        <w:rPr>
          <w:color w:val="222222"/>
        </w:rPr>
        <w:t xml:space="preserve"> (CDA), na Faculdade de Medicina Dentária da Universidade Católica Portuguesa, assente numa lógica de </w:t>
      </w:r>
      <w:proofErr w:type="spellStart"/>
      <w:r>
        <w:rPr>
          <w:color w:val="222222"/>
        </w:rPr>
        <w:t>stackable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credentials</w:t>
      </w:r>
      <w:proofErr w:type="spellEnd"/>
      <w:r>
        <w:rPr>
          <w:color w:val="222222"/>
        </w:rPr>
        <w:t>, formação contínua e desenvolvimento progressivo de competências clínicas baseadas na evidência científica.</w:t>
      </w:r>
    </w:p>
    <w:p w14:paraId="0649D45D" w14:textId="77777777" w:rsidR="005D4129" w:rsidRDefault="00000000">
      <w:pPr>
        <w:spacing w:after="140"/>
        <w:jc w:val="both"/>
      </w:pPr>
      <w:r>
        <w:rPr>
          <w:color w:val="222222"/>
        </w:rPr>
        <w:t xml:space="preserve">A obturação tridimensional do sistema de canais radiculares constitui uma etapa determinante para o sucesso do tratamento endodôntico, permitindo o </w:t>
      </w:r>
      <w:proofErr w:type="spellStart"/>
      <w:r>
        <w:rPr>
          <w:color w:val="222222"/>
        </w:rPr>
        <w:t>selamento</w:t>
      </w:r>
      <w:proofErr w:type="spellEnd"/>
      <w:r>
        <w:rPr>
          <w:color w:val="222222"/>
        </w:rPr>
        <w:t xml:space="preserve"> adequado do espaço </w:t>
      </w:r>
      <w:proofErr w:type="spellStart"/>
      <w:r>
        <w:rPr>
          <w:color w:val="222222"/>
        </w:rPr>
        <w:t>canalar</w:t>
      </w:r>
      <w:proofErr w:type="spellEnd"/>
      <w:r>
        <w:rPr>
          <w:color w:val="222222"/>
        </w:rPr>
        <w:t xml:space="preserve"> previamente instrumentado e desinfetado, prevenindo a reinfeção e favorecendo a manutenção dos tecidos </w:t>
      </w:r>
      <w:proofErr w:type="spellStart"/>
      <w:r>
        <w:rPr>
          <w:color w:val="222222"/>
        </w:rPr>
        <w:t>periapicais</w:t>
      </w:r>
      <w:proofErr w:type="spellEnd"/>
      <w:r>
        <w:rPr>
          <w:color w:val="222222"/>
        </w:rPr>
        <w:t xml:space="preserve">. A evolução dos </w:t>
      </w:r>
      <w:r>
        <w:rPr>
          <w:color w:val="222222"/>
        </w:rPr>
        <w:lastRenderedPageBreak/>
        <w:t xml:space="preserve">materiais obturadores, dos cimentos endodônticos e das técnicas de compactação da guta-percha tem permitido melhorar a qualidade do </w:t>
      </w:r>
      <w:proofErr w:type="spellStart"/>
      <w:r>
        <w:rPr>
          <w:color w:val="222222"/>
        </w:rPr>
        <w:t>selamento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canalar</w:t>
      </w:r>
      <w:proofErr w:type="spellEnd"/>
      <w:r>
        <w:rPr>
          <w:color w:val="222222"/>
        </w:rPr>
        <w:t>.</w:t>
      </w:r>
    </w:p>
    <w:p w14:paraId="5964BA5E" w14:textId="77777777" w:rsidR="005D4129" w:rsidRDefault="00000000">
      <w:pPr>
        <w:spacing w:after="140"/>
        <w:jc w:val="both"/>
      </w:pPr>
      <w:r>
        <w:rPr>
          <w:color w:val="222222"/>
        </w:rPr>
        <w:t>Esta microcredencial proporciona uma formação intensiva que combina fundamentos científicos com uma forte componente prática (</w:t>
      </w:r>
      <w:proofErr w:type="spellStart"/>
      <w:r>
        <w:rPr>
          <w:color w:val="222222"/>
        </w:rPr>
        <w:t>hands-on</w:t>
      </w:r>
      <w:proofErr w:type="spellEnd"/>
      <w:r>
        <w:rPr>
          <w:color w:val="222222"/>
        </w:rPr>
        <w:t>), permitindo aos participantes conhecer, comparar e executar diferentes técnicas de obturação, contribuindo para a aprendizagem ao longo da vida (</w:t>
      </w:r>
      <w:proofErr w:type="spellStart"/>
      <w:r>
        <w:rPr>
          <w:color w:val="222222"/>
        </w:rPr>
        <w:t>lifelong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learning</w:t>
      </w:r>
      <w:proofErr w:type="spellEnd"/>
      <w:r>
        <w:rPr>
          <w:color w:val="222222"/>
        </w:rPr>
        <w:t>) e a diferenciação técnica em Endodontia.</w:t>
      </w:r>
    </w:p>
    <w:p w14:paraId="084E860A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2. RESULTADOS DE APRENDIZAGEM</w:t>
      </w:r>
    </w:p>
    <w:p w14:paraId="4778D199" w14:textId="77777777" w:rsidR="005D4129" w:rsidRDefault="00000000">
      <w:pPr>
        <w:spacing w:after="140"/>
        <w:jc w:val="both"/>
      </w:pPr>
      <w:r>
        <w:rPr>
          <w:color w:val="222222"/>
        </w:rPr>
        <w:t>No final da microcredencial, os participantes deverão ser capazes de:</w:t>
      </w:r>
    </w:p>
    <w:p w14:paraId="010DBB9E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Identificar</w:t>
      </w:r>
    </w:p>
    <w:p w14:paraId="06E3587F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Os diferentes materiais utilizados na obturação do sistema de canais radiculares.</w:t>
      </w:r>
    </w:p>
    <w:p w14:paraId="5AC6A72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As características, propriedades e indicações clínicas dos diferentes cimentos endodônticos.</w:t>
      </w:r>
    </w:p>
    <w:p w14:paraId="120840AE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As diferentes técnicas de obturação disponíveis na prática clínica.</w:t>
      </w:r>
    </w:p>
    <w:p w14:paraId="61A60E7A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Interpretar</w:t>
      </w:r>
    </w:p>
    <w:p w14:paraId="3A865229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Os princípios biológicos que suportam a obturação tridimensional do sistema de canais radiculares.</w:t>
      </w:r>
    </w:p>
    <w:p w14:paraId="4E0AC1B1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A influência da anatomia </w:t>
      </w:r>
      <w:proofErr w:type="spellStart"/>
      <w:r>
        <w:rPr>
          <w:color w:val="222222"/>
        </w:rPr>
        <w:t>canalar</w:t>
      </w:r>
      <w:proofErr w:type="spellEnd"/>
      <w:r>
        <w:rPr>
          <w:color w:val="222222"/>
        </w:rPr>
        <w:t xml:space="preserve"> na seleção da técnica de obturação.</w:t>
      </w:r>
    </w:p>
    <w:p w14:paraId="0DB57221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A evidência científica relativa aos diferentes materiais e técnicas de obturação.</w:t>
      </w:r>
    </w:p>
    <w:p w14:paraId="04E812C4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Executar</w:t>
      </w:r>
    </w:p>
    <w:p w14:paraId="56249436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Protocolos de obturação utilizando diferentes técnicas.</w:t>
      </w:r>
    </w:p>
    <w:p w14:paraId="5456BF7F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A manipulação correta dos cimentos endodônticos e da guta-percha.</w:t>
      </w:r>
    </w:p>
    <w:p w14:paraId="1EFD49D9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Técnicas de obturação com condensação lateral, condensação vertical e sistemas </w:t>
      </w:r>
      <w:proofErr w:type="spellStart"/>
      <w:r>
        <w:rPr>
          <w:color w:val="222222"/>
        </w:rPr>
        <w:t>termoplastificados</w:t>
      </w:r>
      <w:proofErr w:type="spellEnd"/>
      <w:r>
        <w:rPr>
          <w:color w:val="222222"/>
        </w:rPr>
        <w:t>.</w:t>
      </w:r>
    </w:p>
    <w:p w14:paraId="7606D415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Integrar</w:t>
      </w:r>
    </w:p>
    <w:p w14:paraId="7F032A0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Os princípios biomecânicos da preparação </w:t>
      </w:r>
      <w:proofErr w:type="spellStart"/>
      <w:r>
        <w:rPr>
          <w:color w:val="222222"/>
        </w:rPr>
        <w:t>canalar</w:t>
      </w:r>
      <w:proofErr w:type="spellEnd"/>
      <w:r>
        <w:rPr>
          <w:color w:val="222222"/>
        </w:rPr>
        <w:t xml:space="preserve"> na seleção da técnica obturadora.</w:t>
      </w:r>
    </w:p>
    <w:p w14:paraId="377141AA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Protocolos de controlo de qualidade da obturação através da avaliação clínica e radiográfica.</w:t>
      </w:r>
    </w:p>
    <w:p w14:paraId="0EF0E3D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Critérios de seleção dos materiais em função da situação clínica.</w:t>
      </w:r>
    </w:p>
    <w:p w14:paraId="4A62453D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Aplicar</w:t>
      </w:r>
    </w:p>
    <w:p w14:paraId="37071897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Técnicas de obturação adequadas às diferentes configurações anatómicas.</w:t>
      </w:r>
    </w:p>
    <w:p w14:paraId="2647341F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Protocolos de prevenção de falhas e complicações durante a obturação.</w:t>
      </w:r>
    </w:p>
    <w:p w14:paraId="14A745E2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Princípios de Medicina Dentária baseada na evidência na seleção dos materiais obturadores.</w:t>
      </w:r>
    </w:p>
    <w:p w14:paraId="7030A08D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Discutir</w:t>
      </w:r>
    </w:p>
    <w:p w14:paraId="148C3CEF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As vantagens e limitações das diferentes técnicas de obturação.</w:t>
      </w:r>
    </w:p>
    <w:p w14:paraId="630A4C1A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O desempenho clínico dos diferentes cimentos endodônticos.</w:t>
      </w:r>
    </w:p>
    <w:p w14:paraId="1D1672E4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Casos clínicos ilustrativos da aplicação das diferentes técnicas obturadoras.</w:t>
      </w:r>
    </w:p>
    <w:p w14:paraId="01424875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3. DESTINATÁRIOS</w:t>
      </w:r>
    </w:p>
    <w:p w14:paraId="66E269BF" w14:textId="77777777" w:rsidR="005D4129" w:rsidRDefault="00000000">
      <w:pPr>
        <w:spacing w:after="140"/>
        <w:jc w:val="both"/>
      </w:pPr>
      <w:r>
        <w:rPr>
          <w:color w:val="222222"/>
        </w:rPr>
        <w:t>A microcredencial destina-se a:</w:t>
      </w:r>
    </w:p>
    <w:p w14:paraId="16FFBBE7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Médicos dentistas em exercício clínico.</w:t>
      </w:r>
    </w:p>
    <w:p w14:paraId="6BD840FE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Médicos dentistas especialistas.</w:t>
      </w:r>
    </w:p>
    <w:p w14:paraId="62423354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Docentes e investigadores da área da Medicina Dentária.</w:t>
      </w:r>
    </w:p>
    <w:p w14:paraId="20B7FC4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Estudantes de pós-graduação em Medicina Dentária.</w:t>
      </w:r>
    </w:p>
    <w:p w14:paraId="4D56E732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lastRenderedPageBreak/>
        <w:t>Estudantes de graduação em Medicina Dentária.</w:t>
      </w:r>
    </w:p>
    <w:p w14:paraId="19F03F1C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Requisitos mínimos de acesso</w:t>
      </w:r>
    </w:p>
    <w:p w14:paraId="30B1D5C3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Licenciatura em Medicina Dentária;</w:t>
      </w:r>
    </w:p>
    <w:p w14:paraId="31626359" w14:textId="77777777" w:rsidR="005D4129" w:rsidRDefault="00000000">
      <w:pPr>
        <w:spacing w:after="60"/>
        <w:jc w:val="center"/>
      </w:pPr>
      <w:r>
        <w:rPr>
          <w:i/>
          <w:iCs/>
          <w:color w:val="666666"/>
          <w:sz w:val="19"/>
          <w:szCs w:val="19"/>
        </w:rPr>
        <w:t>ou</w:t>
      </w:r>
    </w:p>
    <w:p w14:paraId="268A0814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Mestrado Integrado em Medicina Dentária;</w:t>
      </w:r>
    </w:p>
    <w:p w14:paraId="1864AA54" w14:textId="77777777" w:rsidR="005D4129" w:rsidRDefault="00000000">
      <w:pPr>
        <w:spacing w:after="60"/>
        <w:jc w:val="center"/>
      </w:pPr>
      <w:r>
        <w:rPr>
          <w:i/>
          <w:iCs/>
          <w:color w:val="666666"/>
          <w:sz w:val="19"/>
          <w:szCs w:val="19"/>
        </w:rPr>
        <w:t>ou</w:t>
      </w:r>
    </w:p>
    <w:p w14:paraId="68E721CB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Qualificação equivalente legalmente reconhecida;</w:t>
      </w:r>
    </w:p>
    <w:p w14:paraId="06085B51" w14:textId="77777777" w:rsidR="005D4129" w:rsidRDefault="00000000">
      <w:pPr>
        <w:spacing w:after="60"/>
        <w:jc w:val="center"/>
      </w:pPr>
      <w:r>
        <w:rPr>
          <w:i/>
          <w:iCs/>
          <w:color w:val="666666"/>
          <w:sz w:val="19"/>
          <w:szCs w:val="19"/>
        </w:rPr>
        <w:t>ou</w:t>
      </w:r>
    </w:p>
    <w:p w14:paraId="09A3DB7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Estudantes do 4º ou 5º ano do Mestrado Integrado em Medicina Dentária.</w:t>
      </w:r>
    </w:p>
    <w:p w14:paraId="6E281290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Experiência recomendada</w:t>
      </w:r>
    </w:p>
    <w:p w14:paraId="125D1B72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Interesse e conhecimentos em Endodontia.</w:t>
      </w:r>
    </w:p>
    <w:p w14:paraId="18F2A4EE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4. ESTRUTURA PEDAGÓGICA</w:t>
      </w:r>
    </w:p>
    <w:p w14:paraId="2FAE0100" w14:textId="77777777" w:rsidR="005D4129" w:rsidRDefault="00000000">
      <w:pPr>
        <w:spacing w:after="140"/>
        <w:jc w:val="both"/>
      </w:pPr>
      <w:r>
        <w:rPr>
          <w:color w:val="222222"/>
        </w:rPr>
        <w:t>A microcredencial corresponde a uma carga de trabalho global de 50 horas, distribuídas por 16 horas de contacto e 34 horas de trabalho autónomo do estudante, incluindo estudo individual, análise de literatura científica e consolidação dos conteúdos abordados.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26"/>
        <w:gridCol w:w="1400"/>
        <w:gridCol w:w="1400"/>
      </w:tblGrid>
      <w:tr w:rsidR="005D4129" w14:paraId="73F77CE0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691BDD" w14:textId="77777777" w:rsidR="005D4129" w:rsidRDefault="00000000">
            <w:pPr>
              <w:spacing w:after="30"/>
            </w:pPr>
            <w:r>
              <w:rPr>
                <w:b/>
                <w:bCs/>
                <w:color w:val="FFFFFF"/>
                <w:sz w:val="19"/>
                <w:szCs w:val="19"/>
              </w:rPr>
              <w:t>Componente</w:t>
            </w:r>
          </w:p>
        </w:tc>
        <w:tc>
          <w:tcPr>
            <w:tcW w:w="14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5ED655" w14:textId="77777777" w:rsidR="005D4129" w:rsidRDefault="00000000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Horas</w:t>
            </w:r>
          </w:p>
        </w:tc>
        <w:tc>
          <w:tcPr>
            <w:tcW w:w="14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516E0B" w14:textId="77777777" w:rsidR="005D4129" w:rsidRDefault="00000000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ECTS</w:t>
            </w:r>
          </w:p>
        </w:tc>
      </w:tr>
      <w:tr w:rsidR="005D4129" w14:paraId="029690F8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7E9841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Componente Teórica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A3F19F" w14:textId="77777777" w:rsidR="005D4129" w:rsidRDefault="00000000">
            <w:pPr>
              <w:spacing w:after="30"/>
              <w:jc w:val="center"/>
            </w:pPr>
            <w:r>
              <w:rPr>
                <w:color w:val="222222"/>
                <w:sz w:val="19"/>
                <w:szCs w:val="19"/>
              </w:rPr>
              <w:t>8H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792BEA" w14:textId="77777777" w:rsidR="005D4129" w:rsidRDefault="00000000">
            <w:pPr>
              <w:spacing w:after="30"/>
              <w:jc w:val="center"/>
            </w:pPr>
            <w:r>
              <w:rPr>
                <w:color w:val="222222"/>
                <w:sz w:val="19"/>
                <w:szCs w:val="19"/>
              </w:rPr>
              <w:t>1</w:t>
            </w:r>
          </w:p>
        </w:tc>
      </w:tr>
      <w:tr w:rsidR="005D4129" w14:paraId="47738C36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442F37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Aplicação Prática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448DF" w14:textId="77777777" w:rsidR="005D4129" w:rsidRDefault="00000000">
            <w:pPr>
              <w:spacing w:after="30"/>
              <w:jc w:val="center"/>
            </w:pPr>
            <w:r>
              <w:rPr>
                <w:color w:val="222222"/>
                <w:sz w:val="19"/>
                <w:szCs w:val="19"/>
              </w:rPr>
              <w:t>8H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C4F1C" w14:textId="77777777" w:rsidR="005D4129" w:rsidRDefault="00000000">
            <w:pPr>
              <w:spacing w:after="30"/>
              <w:jc w:val="center"/>
            </w:pPr>
            <w:r>
              <w:rPr>
                <w:color w:val="222222"/>
                <w:sz w:val="19"/>
                <w:szCs w:val="19"/>
              </w:rPr>
              <w:t>1</w:t>
            </w:r>
          </w:p>
        </w:tc>
      </w:tr>
      <w:tr w:rsidR="005D4129" w14:paraId="62040D66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D6BF73" w14:textId="77777777" w:rsidR="005D4129" w:rsidRDefault="00000000">
            <w:pPr>
              <w:spacing w:after="30"/>
            </w:pPr>
            <w:r>
              <w:rPr>
                <w:b/>
                <w:bCs/>
                <w:color w:val="222222"/>
                <w:sz w:val="19"/>
                <w:szCs w:val="19"/>
              </w:rPr>
              <w:t>TOTAL</w:t>
            </w:r>
          </w:p>
        </w:tc>
        <w:tc>
          <w:tcPr>
            <w:tcW w:w="1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7B625C" w14:textId="77777777" w:rsidR="005D4129" w:rsidRDefault="00000000">
            <w:pPr>
              <w:spacing w:after="30"/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>16H</w:t>
            </w:r>
          </w:p>
        </w:tc>
        <w:tc>
          <w:tcPr>
            <w:tcW w:w="1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795D7C" w14:textId="77777777" w:rsidR="005D4129" w:rsidRDefault="00000000">
            <w:pPr>
              <w:spacing w:after="30"/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>2</w:t>
            </w:r>
          </w:p>
        </w:tc>
      </w:tr>
    </w:tbl>
    <w:p w14:paraId="5082FA77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5. CONTEÚDOS PROGRAMÁTICOS</w:t>
      </w:r>
    </w:p>
    <w:p w14:paraId="4BCF7D19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Área temática 1 – Materiais e Técnicas de Obturação em Endodontia (8h)</w:t>
      </w:r>
    </w:p>
    <w:p w14:paraId="71FF0810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Objetivos biológicos da obturação tridimensional.</w:t>
      </w:r>
    </w:p>
    <w:p w14:paraId="5FE541C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Critérios para uma obturação de qualidade.</w:t>
      </w:r>
    </w:p>
    <w:p w14:paraId="791A3634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Guta-percha: propriedades, apresentação e comportamento clínico.</w:t>
      </w:r>
    </w:p>
    <w:p w14:paraId="7D9E55D5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Cimentos endodônticos: composição, classificação, propriedades físico-químicas e indicações clínicas.</w:t>
      </w:r>
    </w:p>
    <w:p w14:paraId="3E4FD0A1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Cimentos </w:t>
      </w:r>
      <w:proofErr w:type="spellStart"/>
      <w:r>
        <w:rPr>
          <w:color w:val="222222"/>
        </w:rPr>
        <w:t>biocerâmicos</w:t>
      </w:r>
      <w:proofErr w:type="spellEnd"/>
      <w:r>
        <w:rPr>
          <w:color w:val="222222"/>
        </w:rPr>
        <w:t xml:space="preserve"> e biomateriais de nova geração.</w:t>
      </w:r>
    </w:p>
    <w:p w14:paraId="17037AE5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Técnicas de condensação lateral a frio.</w:t>
      </w:r>
    </w:p>
    <w:p w14:paraId="7B8E64D3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Técnicas de condensação vertical a quente.</w:t>
      </w:r>
    </w:p>
    <w:p w14:paraId="20BEF75A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Técnicas de guta-percha </w:t>
      </w:r>
      <w:proofErr w:type="spellStart"/>
      <w:r>
        <w:rPr>
          <w:color w:val="222222"/>
        </w:rPr>
        <w:t>termoplastificada</w:t>
      </w:r>
      <w:proofErr w:type="spellEnd"/>
      <w:r>
        <w:rPr>
          <w:color w:val="222222"/>
        </w:rPr>
        <w:t>.</w:t>
      </w:r>
    </w:p>
    <w:p w14:paraId="5924058B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Sistemas de obturação transportada.</w:t>
      </w:r>
    </w:p>
    <w:p w14:paraId="55F59B22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Seleção da técnica de obturação em função da anatomia </w:t>
      </w:r>
      <w:proofErr w:type="spellStart"/>
      <w:r>
        <w:rPr>
          <w:color w:val="222222"/>
        </w:rPr>
        <w:t>canalar</w:t>
      </w:r>
      <w:proofErr w:type="spellEnd"/>
      <w:r>
        <w:rPr>
          <w:color w:val="222222"/>
        </w:rPr>
        <w:t>.</w:t>
      </w:r>
    </w:p>
    <w:p w14:paraId="4A4D47EF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Avaliação clínica e radiográfica da qualidade da obturação.</w:t>
      </w:r>
    </w:p>
    <w:p w14:paraId="11CD7AD6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Evidência científica atual sobre materiais e técnicas obturadoras.</w:t>
      </w:r>
    </w:p>
    <w:p w14:paraId="12EE2382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 xml:space="preserve">Área temática 2 – </w:t>
      </w:r>
      <w:proofErr w:type="spellStart"/>
      <w:r>
        <w:rPr>
          <w:b/>
          <w:bCs/>
          <w:color w:val="B08D57"/>
          <w:sz w:val="22"/>
          <w:szCs w:val="22"/>
        </w:rPr>
        <w:t>Hands-on</w:t>
      </w:r>
      <w:proofErr w:type="spellEnd"/>
      <w:r>
        <w:rPr>
          <w:b/>
          <w:bCs/>
          <w:color w:val="B08D57"/>
          <w:sz w:val="22"/>
          <w:szCs w:val="22"/>
        </w:rPr>
        <w:t>: Técnicas de Obturação Endodôntica (8h)</w:t>
      </w:r>
    </w:p>
    <w:p w14:paraId="54D4FBCE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Demonstração das diferentes técnicas de obturação.</w:t>
      </w:r>
    </w:p>
    <w:p w14:paraId="09CCF5EA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Manipulação dos diferentes cimentos endodônticos.</w:t>
      </w:r>
    </w:p>
    <w:p w14:paraId="1702D0F3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Preparação e utilização dos equipamentos de obturação </w:t>
      </w:r>
      <w:proofErr w:type="spellStart"/>
      <w:r>
        <w:rPr>
          <w:color w:val="222222"/>
        </w:rPr>
        <w:t>termoplastificada</w:t>
      </w:r>
      <w:proofErr w:type="spellEnd"/>
      <w:r>
        <w:rPr>
          <w:color w:val="222222"/>
        </w:rPr>
        <w:t>.</w:t>
      </w:r>
    </w:p>
    <w:p w14:paraId="6216C3EE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Execução da técnica de condensação lateral.</w:t>
      </w:r>
    </w:p>
    <w:p w14:paraId="1E677082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lastRenderedPageBreak/>
        <w:t>Execução da técnica de condensação vertical aquecida.</w:t>
      </w:r>
    </w:p>
    <w:p w14:paraId="0153E60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Execução de técnicas de obturação </w:t>
      </w:r>
      <w:proofErr w:type="spellStart"/>
      <w:r>
        <w:rPr>
          <w:color w:val="222222"/>
        </w:rPr>
        <w:t>termoplastificada</w:t>
      </w:r>
      <w:proofErr w:type="spellEnd"/>
      <w:r>
        <w:rPr>
          <w:color w:val="222222"/>
        </w:rPr>
        <w:t>.</w:t>
      </w:r>
    </w:p>
    <w:p w14:paraId="0AAD2464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Comparação prática entre os diferentes materiais e técnicas.</w:t>
      </w:r>
    </w:p>
    <w:p w14:paraId="2F59D57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Avaliação da qualidade da obturação realizada pelos participantes.</w:t>
      </w:r>
    </w:p>
    <w:p w14:paraId="245FF47E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Discussão dos erros técnicos mais frequentes e estratégias para a sua prevenção.</w:t>
      </w:r>
    </w:p>
    <w:p w14:paraId="103339F7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6. METODOLOGIAS PEDAGÓGICAS</w:t>
      </w:r>
    </w:p>
    <w:p w14:paraId="18436CB2" w14:textId="77777777" w:rsidR="005D4129" w:rsidRDefault="00000000">
      <w:pPr>
        <w:spacing w:after="140"/>
        <w:jc w:val="both"/>
      </w:pPr>
      <w:r>
        <w:rPr>
          <w:color w:val="222222"/>
        </w:rPr>
        <w:t>A microcredencial utiliza metodologias pedagógicas centradas no participante e orientadas para a aplicação prática dos conhecimentos adquiridos.</w:t>
      </w:r>
    </w:p>
    <w:p w14:paraId="6DADAE15" w14:textId="77777777" w:rsidR="005D4129" w:rsidRDefault="00000000">
      <w:pPr>
        <w:spacing w:after="60"/>
        <w:jc w:val="both"/>
      </w:pPr>
      <w:r>
        <w:rPr>
          <w:color w:val="222222"/>
        </w:rPr>
        <w:t>Inclui:</w:t>
      </w:r>
    </w:p>
    <w:p w14:paraId="3AFC53C7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Aulas teóricas e </w:t>
      </w:r>
      <w:proofErr w:type="spellStart"/>
      <w:r>
        <w:rPr>
          <w:color w:val="222222"/>
        </w:rPr>
        <w:t>hands-on</w:t>
      </w:r>
      <w:proofErr w:type="spellEnd"/>
      <w:r>
        <w:rPr>
          <w:color w:val="222222"/>
        </w:rPr>
        <w:t xml:space="preserve"> presenciais.</w:t>
      </w:r>
    </w:p>
    <w:p w14:paraId="7D26C9F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Discussão de casos clínicos.</w:t>
      </w:r>
    </w:p>
    <w:p w14:paraId="541FE0CD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Aprendizagem baseada em casos (Case-</w:t>
      </w:r>
      <w:proofErr w:type="spellStart"/>
      <w:r>
        <w:rPr>
          <w:color w:val="222222"/>
        </w:rPr>
        <w:t>Based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Learning</w:t>
      </w:r>
      <w:proofErr w:type="spellEnd"/>
      <w:r>
        <w:rPr>
          <w:color w:val="222222"/>
        </w:rPr>
        <w:t>).</w:t>
      </w:r>
    </w:p>
    <w:p w14:paraId="65FFF5E8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Discussão crítica de literatura científica.</w:t>
      </w:r>
    </w:p>
    <w:p w14:paraId="2789B287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 xml:space="preserve">Exercícios de aplicação prática e </w:t>
      </w:r>
      <w:proofErr w:type="spellStart"/>
      <w:r>
        <w:rPr>
          <w:color w:val="222222"/>
        </w:rPr>
        <w:t>hands-on</w:t>
      </w:r>
      <w:proofErr w:type="spellEnd"/>
      <w:r>
        <w:rPr>
          <w:color w:val="222222"/>
        </w:rPr>
        <w:t>.</w:t>
      </w:r>
    </w:p>
    <w:p w14:paraId="6892B870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Trabalho autónomo orientado.</w:t>
      </w:r>
    </w:p>
    <w:p w14:paraId="5FBA80E5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Reflexão crítica sobre cenários clínicos reais.</w:t>
      </w:r>
    </w:p>
    <w:p w14:paraId="10EFB3BA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7. AVALIAÇÃO</w:t>
      </w:r>
    </w:p>
    <w:p w14:paraId="56CE9493" w14:textId="77777777" w:rsidR="005D4129" w:rsidRDefault="00000000">
      <w:pPr>
        <w:spacing w:after="140"/>
        <w:jc w:val="both"/>
      </w:pPr>
      <w:r>
        <w:rPr>
          <w:color w:val="222222"/>
        </w:rPr>
        <w:t>A avaliação privilegia competências cognitivas aplicadas e capacidade de decisão e análise crítica. A obtenção da certificação exige participação ativa nas atividades formativas e aproveitamento global na avaliação.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6"/>
        <w:gridCol w:w="1600"/>
      </w:tblGrid>
      <w:tr w:rsidR="005D4129" w14:paraId="07B0BF09" w14:textId="77777777">
        <w:tblPrEx>
          <w:tblCellMar>
            <w:top w:w="0" w:type="dxa"/>
            <w:bottom w:w="0" w:type="dxa"/>
          </w:tblCellMar>
        </w:tblPrEx>
        <w:tc>
          <w:tcPr>
            <w:tcW w:w="7426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26B979" w14:textId="77777777" w:rsidR="005D4129" w:rsidRDefault="00000000">
            <w:pPr>
              <w:spacing w:after="30"/>
            </w:pPr>
            <w:r>
              <w:rPr>
                <w:b/>
                <w:bCs/>
                <w:color w:val="FFFFFF"/>
                <w:sz w:val="19"/>
                <w:szCs w:val="19"/>
              </w:rPr>
              <w:t>Componente</w:t>
            </w:r>
          </w:p>
        </w:tc>
        <w:tc>
          <w:tcPr>
            <w:tcW w:w="1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A62A47" w14:textId="77777777" w:rsidR="005D4129" w:rsidRDefault="00000000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Peso</w:t>
            </w:r>
          </w:p>
        </w:tc>
      </w:tr>
      <w:tr w:rsidR="005D4129" w14:paraId="027B0825" w14:textId="77777777">
        <w:tblPrEx>
          <w:tblCellMar>
            <w:top w:w="0" w:type="dxa"/>
            <w:bottom w:w="0" w:type="dxa"/>
          </w:tblCellMar>
        </w:tblPrEx>
        <w:tc>
          <w:tcPr>
            <w:tcW w:w="74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9D7C8F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Participação ativa nas atividades formativas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C04DF2" w14:textId="77777777" w:rsidR="005D4129" w:rsidRDefault="00000000">
            <w:pPr>
              <w:spacing w:after="30"/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>40%</w:t>
            </w:r>
          </w:p>
        </w:tc>
      </w:tr>
      <w:tr w:rsidR="005D4129" w14:paraId="564D74D5" w14:textId="77777777">
        <w:tblPrEx>
          <w:tblCellMar>
            <w:top w:w="0" w:type="dxa"/>
            <w:bottom w:w="0" w:type="dxa"/>
          </w:tblCellMar>
        </w:tblPrEx>
        <w:tc>
          <w:tcPr>
            <w:tcW w:w="74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43501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 xml:space="preserve">Aplicação prática e </w:t>
            </w:r>
            <w:proofErr w:type="spellStart"/>
            <w:r>
              <w:rPr>
                <w:color w:val="222222"/>
                <w:sz w:val="19"/>
                <w:szCs w:val="19"/>
              </w:rPr>
              <w:t>hands-on</w:t>
            </w:r>
            <w:proofErr w:type="spellEnd"/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23EBB" w14:textId="77777777" w:rsidR="005D4129" w:rsidRDefault="00000000">
            <w:pPr>
              <w:spacing w:after="30"/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>40%</w:t>
            </w:r>
          </w:p>
        </w:tc>
      </w:tr>
      <w:tr w:rsidR="005D4129" w14:paraId="3E4FE139" w14:textId="77777777">
        <w:tblPrEx>
          <w:tblCellMar>
            <w:top w:w="0" w:type="dxa"/>
            <w:bottom w:w="0" w:type="dxa"/>
          </w:tblCellMar>
        </w:tblPrEx>
        <w:tc>
          <w:tcPr>
            <w:tcW w:w="74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87F49B" w14:textId="77777777" w:rsidR="005D4129" w:rsidRDefault="00000000">
            <w:pPr>
              <w:spacing w:after="30"/>
            </w:pPr>
            <w:r>
              <w:rPr>
                <w:color w:val="222222"/>
                <w:sz w:val="19"/>
                <w:szCs w:val="19"/>
              </w:rPr>
              <w:t>Discussão e resolução de casos clínicos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BFC75C" w14:textId="77777777" w:rsidR="005D4129" w:rsidRDefault="00000000">
            <w:pPr>
              <w:spacing w:after="30"/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>20%</w:t>
            </w:r>
          </w:p>
        </w:tc>
      </w:tr>
    </w:tbl>
    <w:p w14:paraId="19802884" w14:textId="77777777" w:rsidR="005D4129" w:rsidRDefault="005D4129">
      <w:pPr>
        <w:spacing w:after="120"/>
      </w:pPr>
    </w:p>
    <w:p w14:paraId="649F1D81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Escala qualitativa institucional</w:t>
      </w:r>
    </w:p>
    <w:p w14:paraId="473BB7A1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Competência Demonstrada com Distinção</w:t>
      </w:r>
    </w:p>
    <w:p w14:paraId="59006631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Competência Demonstrada</w:t>
      </w:r>
    </w:p>
    <w:p w14:paraId="7F5D434F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Competência em Desenvolvimento</w:t>
      </w:r>
    </w:p>
    <w:p w14:paraId="37EC21EA" w14:textId="77777777" w:rsidR="005D4129" w:rsidRDefault="00000000">
      <w:pPr>
        <w:spacing w:after="100"/>
        <w:jc w:val="both"/>
      </w:pPr>
      <w:r>
        <w:rPr>
          <w:color w:val="222222"/>
        </w:rPr>
        <w:t>A obtenção da certificação exige participação ativa nas atividades formativas e aproveitamento global na avaliação.</w:t>
      </w:r>
    </w:p>
    <w:p w14:paraId="78DDDD5B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8. CERTIFICAÇÃO E CREDITAÇÃO</w:t>
      </w:r>
    </w:p>
    <w:p w14:paraId="7281D39B" w14:textId="77777777" w:rsidR="005D4129" w:rsidRDefault="00000000">
      <w:pPr>
        <w:spacing w:after="140"/>
        <w:jc w:val="both"/>
      </w:pPr>
      <w:r>
        <w:rPr>
          <w:color w:val="222222"/>
        </w:rPr>
        <w:t>A conclusão com aproveitamento da microcredencial confere:</w:t>
      </w:r>
    </w:p>
    <w:p w14:paraId="799FE28F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Certificado Digital de Microcredencial emitido pela Universidade Católica Portuguesa.</w:t>
      </w:r>
    </w:p>
    <w:p w14:paraId="05C36E88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Atribuição de 2 ECTS.</w:t>
      </w:r>
    </w:p>
    <w:p w14:paraId="3573FE25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Registo institucional da formação realizada.</w:t>
      </w:r>
    </w:p>
    <w:p w14:paraId="3DE9A7C2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Possibilidade de creditação futura em programas de Pós-Graduação e percursos formativos modulares da CDA, nos termos definidos pelos regulamentos em vigor.</w:t>
      </w:r>
    </w:p>
    <w:p w14:paraId="47D5A0E8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t>Integração em modelos de aprendizagem acumulável (</w:t>
      </w:r>
      <w:proofErr w:type="spellStart"/>
      <w:r>
        <w:rPr>
          <w:color w:val="222222"/>
        </w:rPr>
        <w:t>stackable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learning</w:t>
      </w:r>
      <w:proofErr w:type="spellEnd"/>
      <w:r>
        <w:rPr>
          <w:color w:val="222222"/>
        </w:rPr>
        <w:t>).</w:t>
      </w:r>
    </w:p>
    <w:p w14:paraId="698ABF8B" w14:textId="77777777" w:rsidR="005D4129" w:rsidRDefault="00000000">
      <w:pPr>
        <w:pStyle w:val="PargrafodaLista"/>
        <w:numPr>
          <w:ilvl w:val="0"/>
          <w:numId w:val="2"/>
        </w:numPr>
        <w:spacing w:after="60"/>
        <w:jc w:val="both"/>
      </w:pPr>
      <w:r>
        <w:rPr>
          <w:color w:val="222222"/>
        </w:rPr>
        <w:lastRenderedPageBreak/>
        <w:t>Validade permanente da certificação emitida, sem prejuízo da atualização científica periódica dos conteúdos.</w:t>
      </w:r>
    </w:p>
    <w:p w14:paraId="0AE31A7B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9. CORPO DOCENTE</w:t>
      </w:r>
    </w:p>
    <w:p w14:paraId="457B9223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Coordenação Científica</w:t>
      </w:r>
    </w:p>
    <w:p w14:paraId="30A21E0F" w14:textId="77777777" w:rsidR="005D4129" w:rsidRDefault="00000000">
      <w:pPr>
        <w:spacing w:before="140" w:after="40"/>
      </w:pPr>
      <w:r>
        <w:rPr>
          <w:b/>
          <w:bCs/>
          <w:color w:val="1F3864"/>
          <w:sz w:val="21"/>
          <w:szCs w:val="21"/>
        </w:rPr>
        <w:t>Rita Noites</w:t>
      </w:r>
    </w:p>
    <w:p w14:paraId="5667FB04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>Doutorada em Medicina Dentária (Endodontia) (FMDUP).</w:t>
      </w:r>
    </w:p>
    <w:p w14:paraId="6E15B2EC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>Professora Auxiliar da FMD-UCP (Endodontia).</w:t>
      </w:r>
    </w:p>
    <w:p w14:paraId="517E0C35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>Investigadora do Centro de Investigação Interdisciplinar em Saúde (CIIS-UCP).</w:t>
      </w:r>
    </w:p>
    <w:p w14:paraId="6BA72C7C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 xml:space="preserve">Membro da Sociedade Portuguesa de </w:t>
      </w:r>
      <w:proofErr w:type="spellStart"/>
      <w:r>
        <w:rPr>
          <w:color w:val="222222"/>
          <w:sz w:val="19"/>
          <w:szCs w:val="19"/>
        </w:rPr>
        <w:t>Endodontologia</w:t>
      </w:r>
      <w:proofErr w:type="spellEnd"/>
      <w:r>
        <w:rPr>
          <w:color w:val="222222"/>
          <w:sz w:val="19"/>
          <w:szCs w:val="19"/>
        </w:rPr>
        <w:t>.</w:t>
      </w:r>
    </w:p>
    <w:p w14:paraId="07628C15" w14:textId="77777777" w:rsidR="005D4129" w:rsidRDefault="00000000">
      <w:pPr>
        <w:spacing w:before="200" w:after="90"/>
      </w:pPr>
      <w:r>
        <w:rPr>
          <w:b/>
          <w:bCs/>
          <w:color w:val="B08D57"/>
          <w:sz w:val="22"/>
          <w:szCs w:val="22"/>
        </w:rPr>
        <w:t>Corpo Docente</w:t>
      </w:r>
    </w:p>
    <w:p w14:paraId="6AA4BED8" w14:textId="77777777" w:rsidR="005D4129" w:rsidRDefault="00000000">
      <w:pPr>
        <w:spacing w:before="140" w:after="40"/>
      </w:pPr>
      <w:r>
        <w:rPr>
          <w:b/>
          <w:bCs/>
          <w:color w:val="1F3864"/>
          <w:sz w:val="21"/>
          <w:szCs w:val="21"/>
        </w:rPr>
        <w:t>Miguel Cardoso</w:t>
      </w:r>
    </w:p>
    <w:p w14:paraId="4D3A4DAB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>Doutor em Medicina Veterinária / Ciências Biomédicas com o tema "</w:t>
      </w:r>
      <w:proofErr w:type="spellStart"/>
      <w:r>
        <w:rPr>
          <w:color w:val="222222"/>
          <w:sz w:val="19"/>
          <w:szCs w:val="19"/>
        </w:rPr>
        <w:t>Bioceramics</w:t>
      </w:r>
      <w:proofErr w:type="spellEnd"/>
      <w:r>
        <w:rPr>
          <w:color w:val="222222"/>
          <w:sz w:val="19"/>
          <w:szCs w:val="19"/>
        </w:rPr>
        <w:t xml:space="preserve"> in </w:t>
      </w:r>
      <w:proofErr w:type="spellStart"/>
      <w:r>
        <w:rPr>
          <w:color w:val="222222"/>
          <w:sz w:val="19"/>
          <w:szCs w:val="19"/>
        </w:rPr>
        <w:t>Tissue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Regeneration</w:t>
      </w:r>
      <w:proofErr w:type="spellEnd"/>
      <w:r>
        <w:rPr>
          <w:color w:val="222222"/>
          <w:sz w:val="19"/>
          <w:szCs w:val="19"/>
        </w:rPr>
        <w:t xml:space="preserve"> in </w:t>
      </w:r>
      <w:proofErr w:type="spellStart"/>
      <w:r>
        <w:rPr>
          <w:color w:val="222222"/>
          <w:sz w:val="19"/>
          <w:szCs w:val="19"/>
        </w:rPr>
        <w:t>Furcation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Perforations</w:t>
      </w:r>
      <w:proofErr w:type="spellEnd"/>
      <w:r>
        <w:rPr>
          <w:color w:val="222222"/>
          <w:sz w:val="19"/>
          <w:szCs w:val="19"/>
        </w:rPr>
        <w:t xml:space="preserve"> in a </w:t>
      </w:r>
      <w:proofErr w:type="spellStart"/>
      <w:r>
        <w:rPr>
          <w:color w:val="222222"/>
          <w:sz w:val="19"/>
          <w:szCs w:val="19"/>
        </w:rPr>
        <w:t>Canine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Model</w:t>
      </w:r>
      <w:proofErr w:type="spellEnd"/>
      <w:r>
        <w:rPr>
          <w:color w:val="222222"/>
          <w:sz w:val="19"/>
          <w:szCs w:val="19"/>
        </w:rPr>
        <w:t>" (UTAD).</w:t>
      </w:r>
    </w:p>
    <w:p w14:paraId="50C273DC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>Professor Auxiliar da FMD-UCP (Endodontia).</w:t>
      </w:r>
    </w:p>
    <w:p w14:paraId="4EE3977D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 xml:space="preserve">Membro certificado da Sociedade Europeia de </w:t>
      </w:r>
      <w:proofErr w:type="spellStart"/>
      <w:r>
        <w:rPr>
          <w:color w:val="222222"/>
          <w:sz w:val="19"/>
          <w:szCs w:val="19"/>
        </w:rPr>
        <w:t>Endodontologia</w:t>
      </w:r>
      <w:proofErr w:type="spellEnd"/>
      <w:r>
        <w:rPr>
          <w:color w:val="222222"/>
          <w:sz w:val="19"/>
          <w:szCs w:val="19"/>
        </w:rPr>
        <w:t>.</w:t>
      </w:r>
    </w:p>
    <w:p w14:paraId="0C3764B7" w14:textId="77777777" w:rsidR="005D4129" w:rsidRDefault="00000000">
      <w:pPr>
        <w:spacing w:before="140" w:after="40"/>
      </w:pPr>
      <w:r>
        <w:rPr>
          <w:b/>
          <w:bCs/>
          <w:color w:val="1F3864"/>
          <w:sz w:val="21"/>
          <w:szCs w:val="21"/>
        </w:rPr>
        <w:t>Fábio Santiago</w:t>
      </w:r>
    </w:p>
    <w:p w14:paraId="441F6CD7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 xml:space="preserve">Mestrado Integrado em Medicina Dentária pela FMDUP (2010). </w:t>
      </w:r>
      <w:proofErr w:type="spellStart"/>
      <w:r>
        <w:rPr>
          <w:color w:val="222222"/>
          <w:sz w:val="19"/>
          <w:szCs w:val="19"/>
        </w:rPr>
        <w:t>Master</w:t>
      </w:r>
      <w:proofErr w:type="spellEnd"/>
      <w:r>
        <w:rPr>
          <w:color w:val="222222"/>
          <w:sz w:val="19"/>
          <w:szCs w:val="19"/>
        </w:rPr>
        <w:t xml:space="preserve"> em Endodontia pela </w:t>
      </w:r>
      <w:proofErr w:type="spellStart"/>
      <w:r>
        <w:rPr>
          <w:color w:val="222222"/>
          <w:sz w:val="19"/>
          <w:szCs w:val="19"/>
        </w:rPr>
        <w:t>Universitat</w:t>
      </w:r>
      <w:proofErr w:type="spellEnd"/>
      <w:r>
        <w:rPr>
          <w:color w:val="222222"/>
          <w:sz w:val="19"/>
          <w:szCs w:val="19"/>
        </w:rPr>
        <w:t xml:space="preserve"> Internacional de </w:t>
      </w:r>
      <w:proofErr w:type="spellStart"/>
      <w:r>
        <w:rPr>
          <w:color w:val="222222"/>
          <w:sz w:val="19"/>
          <w:szCs w:val="19"/>
        </w:rPr>
        <w:t>Catalunya</w:t>
      </w:r>
      <w:proofErr w:type="spellEnd"/>
      <w:r>
        <w:rPr>
          <w:color w:val="222222"/>
          <w:sz w:val="19"/>
          <w:szCs w:val="19"/>
        </w:rPr>
        <w:t>, Barcelona (2014).</w:t>
      </w:r>
    </w:p>
    <w:p w14:paraId="049F3BF7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 xml:space="preserve">Certificado Universitário em </w:t>
      </w:r>
      <w:proofErr w:type="spellStart"/>
      <w:r>
        <w:rPr>
          <w:color w:val="222222"/>
          <w:sz w:val="19"/>
          <w:szCs w:val="19"/>
        </w:rPr>
        <w:t>Dentisteria</w:t>
      </w:r>
      <w:proofErr w:type="spellEnd"/>
      <w:r>
        <w:rPr>
          <w:color w:val="222222"/>
          <w:sz w:val="19"/>
          <w:szCs w:val="19"/>
        </w:rPr>
        <w:t xml:space="preserve"> Adesiva e Estética pela Universidade Paris VII.</w:t>
      </w:r>
    </w:p>
    <w:p w14:paraId="6BCC2D9F" w14:textId="77777777" w:rsidR="005D4129" w:rsidRDefault="00000000">
      <w:pPr>
        <w:spacing w:after="30"/>
      </w:pPr>
      <w:proofErr w:type="spellStart"/>
      <w:r>
        <w:rPr>
          <w:color w:val="222222"/>
          <w:sz w:val="19"/>
          <w:szCs w:val="19"/>
        </w:rPr>
        <w:t>Co-fundador</w:t>
      </w:r>
      <w:proofErr w:type="spellEnd"/>
      <w:r>
        <w:rPr>
          <w:color w:val="222222"/>
          <w:sz w:val="19"/>
          <w:szCs w:val="19"/>
        </w:rPr>
        <w:t xml:space="preserve"> e formador da </w:t>
      </w:r>
      <w:proofErr w:type="spellStart"/>
      <w:r>
        <w:rPr>
          <w:color w:val="222222"/>
          <w:sz w:val="19"/>
          <w:szCs w:val="19"/>
        </w:rPr>
        <w:t>FromRoots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Endodontics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School</w:t>
      </w:r>
      <w:proofErr w:type="spellEnd"/>
      <w:r>
        <w:rPr>
          <w:color w:val="222222"/>
          <w:sz w:val="19"/>
          <w:szCs w:val="19"/>
        </w:rPr>
        <w:t xml:space="preserve">. </w:t>
      </w:r>
      <w:proofErr w:type="spellStart"/>
      <w:r>
        <w:rPr>
          <w:color w:val="222222"/>
          <w:sz w:val="19"/>
          <w:szCs w:val="19"/>
        </w:rPr>
        <w:t>Certified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trainer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Dentsply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Sirona</w:t>
      </w:r>
      <w:proofErr w:type="spellEnd"/>
      <w:r>
        <w:rPr>
          <w:color w:val="222222"/>
          <w:sz w:val="19"/>
          <w:szCs w:val="19"/>
        </w:rPr>
        <w:t>.</w:t>
      </w:r>
    </w:p>
    <w:p w14:paraId="12FF2420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>Prática clínica exclusiva em endodontia desde 2013.</w:t>
      </w:r>
    </w:p>
    <w:p w14:paraId="6119A0BC" w14:textId="77777777" w:rsidR="005D4129" w:rsidRDefault="00000000">
      <w:pPr>
        <w:spacing w:before="140" w:after="40"/>
      </w:pPr>
      <w:r>
        <w:rPr>
          <w:b/>
          <w:bCs/>
          <w:color w:val="1F3864"/>
          <w:sz w:val="21"/>
          <w:szCs w:val="21"/>
        </w:rPr>
        <w:t>Hugo Sousa Dias</w:t>
      </w:r>
    </w:p>
    <w:p w14:paraId="2F384695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>Pós-graduação de Especialização em Endodontia, pela Faculdade de Medicina Dentária da Universidade de Lisboa (2015).</w:t>
      </w:r>
    </w:p>
    <w:p w14:paraId="1CF88664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 xml:space="preserve">Fundador do </w:t>
      </w:r>
      <w:proofErr w:type="spellStart"/>
      <w:r>
        <w:rPr>
          <w:color w:val="222222"/>
          <w:sz w:val="19"/>
          <w:szCs w:val="19"/>
        </w:rPr>
        <w:t>Study</w:t>
      </w:r>
      <w:proofErr w:type="spellEnd"/>
      <w:r>
        <w:rPr>
          <w:color w:val="222222"/>
          <w:sz w:val="19"/>
          <w:szCs w:val="19"/>
        </w:rPr>
        <w:t xml:space="preserve"> Club </w:t>
      </w:r>
      <w:proofErr w:type="spellStart"/>
      <w:r>
        <w:rPr>
          <w:color w:val="222222"/>
          <w:sz w:val="19"/>
          <w:szCs w:val="19"/>
        </w:rPr>
        <w:t>Endodontics</w:t>
      </w:r>
      <w:proofErr w:type="spellEnd"/>
      <w:r>
        <w:rPr>
          <w:color w:val="222222"/>
          <w:sz w:val="19"/>
          <w:szCs w:val="19"/>
        </w:rPr>
        <w:t xml:space="preserve"> – Grupo Português para o Estudo da Endodontia.</w:t>
      </w:r>
    </w:p>
    <w:p w14:paraId="05487004" w14:textId="77777777" w:rsidR="005D4129" w:rsidRDefault="00000000">
      <w:pPr>
        <w:spacing w:after="30"/>
      </w:pPr>
      <w:r>
        <w:rPr>
          <w:color w:val="222222"/>
          <w:sz w:val="19"/>
          <w:szCs w:val="19"/>
        </w:rPr>
        <w:t xml:space="preserve">Prática clínica exclusiva em Endodontia. </w:t>
      </w:r>
      <w:proofErr w:type="spellStart"/>
      <w:r>
        <w:rPr>
          <w:color w:val="222222"/>
          <w:sz w:val="19"/>
          <w:szCs w:val="19"/>
        </w:rPr>
        <w:t>Key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Opinion</w:t>
      </w:r>
      <w:proofErr w:type="spellEnd"/>
      <w:r>
        <w:rPr>
          <w:color w:val="222222"/>
          <w:sz w:val="19"/>
          <w:szCs w:val="19"/>
        </w:rPr>
        <w:t xml:space="preserve"> Leader </w:t>
      </w:r>
      <w:proofErr w:type="spellStart"/>
      <w:r>
        <w:rPr>
          <w:color w:val="222222"/>
          <w:sz w:val="19"/>
          <w:szCs w:val="19"/>
        </w:rPr>
        <w:t>Kerr</w:t>
      </w:r>
      <w:proofErr w:type="spellEnd"/>
      <w:r>
        <w:rPr>
          <w:color w:val="222222"/>
          <w:sz w:val="19"/>
          <w:szCs w:val="19"/>
        </w:rPr>
        <w:t xml:space="preserve"> </w:t>
      </w:r>
      <w:proofErr w:type="spellStart"/>
      <w:r>
        <w:rPr>
          <w:color w:val="222222"/>
          <w:sz w:val="19"/>
          <w:szCs w:val="19"/>
        </w:rPr>
        <w:t>Endodontics</w:t>
      </w:r>
      <w:proofErr w:type="spellEnd"/>
      <w:r>
        <w:rPr>
          <w:color w:val="222222"/>
          <w:sz w:val="19"/>
          <w:szCs w:val="19"/>
        </w:rPr>
        <w:t>.</w:t>
      </w:r>
    </w:p>
    <w:p w14:paraId="46FDFA15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10. FUNCIONAMENTO</w:t>
      </w:r>
    </w:p>
    <w:p w14:paraId="186FCD0D" w14:textId="77777777" w:rsidR="005D4129" w:rsidRDefault="00000000">
      <w:pPr>
        <w:spacing w:after="60"/>
      </w:pPr>
      <w:r>
        <w:rPr>
          <w:b/>
          <w:bCs/>
          <w:color w:val="1F3864"/>
        </w:rPr>
        <w:t xml:space="preserve">Modalidade: </w:t>
      </w:r>
      <w:r>
        <w:rPr>
          <w:color w:val="222222"/>
        </w:rPr>
        <w:t>Presencial.</w:t>
      </w:r>
    </w:p>
    <w:p w14:paraId="141A21E6" w14:textId="77777777" w:rsidR="005D4129" w:rsidRDefault="00000000">
      <w:pPr>
        <w:spacing w:after="60"/>
      </w:pPr>
      <w:r>
        <w:rPr>
          <w:b/>
          <w:bCs/>
          <w:color w:val="1F3864"/>
        </w:rPr>
        <w:t xml:space="preserve">Duração total: </w:t>
      </w:r>
      <w:r>
        <w:rPr>
          <w:color w:val="222222"/>
        </w:rPr>
        <w:t>50 horas</w:t>
      </w:r>
    </w:p>
    <w:p w14:paraId="4993348B" w14:textId="77777777" w:rsidR="005D4129" w:rsidRDefault="00000000">
      <w:pPr>
        <w:spacing w:after="60"/>
      </w:pPr>
      <w:r>
        <w:rPr>
          <w:b/>
          <w:bCs/>
          <w:color w:val="1F3864"/>
        </w:rPr>
        <w:t xml:space="preserve">Horas de contacto: </w:t>
      </w:r>
      <w:r>
        <w:rPr>
          <w:color w:val="222222"/>
        </w:rPr>
        <w:t>16 horas</w:t>
      </w:r>
    </w:p>
    <w:p w14:paraId="2F5396FB" w14:textId="77777777" w:rsidR="005D4129" w:rsidRDefault="00000000">
      <w:pPr>
        <w:spacing w:after="60"/>
      </w:pPr>
      <w:r>
        <w:rPr>
          <w:b/>
          <w:bCs/>
          <w:color w:val="1F3864"/>
        </w:rPr>
        <w:t xml:space="preserve">Regime: </w:t>
      </w:r>
      <w:r>
        <w:rPr>
          <w:color w:val="222222"/>
        </w:rPr>
        <w:t>Laboral e Pós-laboral.</w:t>
      </w:r>
    </w:p>
    <w:p w14:paraId="34D3F6E6" w14:textId="77777777" w:rsidR="005D4129" w:rsidRDefault="00000000">
      <w:pPr>
        <w:spacing w:after="60"/>
      </w:pPr>
      <w:r>
        <w:rPr>
          <w:b/>
          <w:bCs/>
          <w:color w:val="1F3864"/>
        </w:rPr>
        <w:t xml:space="preserve">Vagas: </w:t>
      </w:r>
      <w:r>
        <w:rPr>
          <w:color w:val="222222"/>
        </w:rPr>
        <w:t>15 vagas</w:t>
      </w:r>
    </w:p>
    <w:p w14:paraId="42B3959E" w14:textId="77777777" w:rsidR="005D4129" w:rsidRDefault="00000000">
      <w:pPr>
        <w:spacing w:after="60"/>
      </w:pPr>
      <w:r>
        <w:rPr>
          <w:b/>
          <w:bCs/>
          <w:color w:val="1F3864"/>
        </w:rPr>
        <w:t xml:space="preserve">Datas: </w:t>
      </w:r>
      <w:r>
        <w:rPr>
          <w:color w:val="222222"/>
        </w:rPr>
        <w:t>A definir em cada edição.</w:t>
      </w:r>
    </w:p>
    <w:p w14:paraId="7E7FB3D9" w14:textId="77777777" w:rsidR="005D4129" w:rsidRDefault="00000000">
      <w:pPr>
        <w:spacing w:after="60"/>
      </w:pPr>
      <w:r>
        <w:rPr>
          <w:b/>
          <w:bCs/>
          <w:color w:val="1F3864"/>
        </w:rPr>
        <w:t xml:space="preserve">Horários: </w:t>
      </w:r>
      <w:r>
        <w:rPr>
          <w:color w:val="222222"/>
        </w:rPr>
        <w:t>A definir em cada edição.</w:t>
      </w:r>
    </w:p>
    <w:p w14:paraId="042389CA" w14:textId="77777777" w:rsidR="005D4129" w:rsidRDefault="00000000">
      <w:pPr>
        <w:pBdr>
          <w:bottom w:val="single" w:sz="8" w:space="4" w:color="1F3864"/>
        </w:pBdr>
        <w:spacing w:before="340" w:after="160"/>
      </w:pPr>
      <w:r>
        <w:rPr>
          <w:b/>
          <w:bCs/>
          <w:color w:val="1F3864"/>
          <w:sz w:val="27"/>
          <w:szCs w:val="27"/>
        </w:rPr>
        <w:t>11. CONTACTOS</w:t>
      </w:r>
    </w:p>
    <w:p w14:paraId="6269CAE5" w14:textId="77777777" w:rsidR="005D4129" w:rsidRDefault="00000000">
      <w:pPr>
        <w:spacing w:after="60"/>
        <w:jc w:val="both"/>
      </w:pPr>
      <w:r>
        <w:rPr>
          <w:color w:val="222222"/>
        </w:rPr>
        <w:t>Faculdade de Medicina Dentária – Universidade Católica Portuguesa</w:t>
      </w:r>
    </w:p>
    <w:p w14:paraId="0F999C18" w14:textId="77777777" w:rsidR="005D4129" w:rsidRDefault="00000000">
      <w:pPr>
        <w:spacing w:after="60"/>
        <w:jc w:val="both"/>
      </w:pPr>
      <w:r>
        <w:rPr>
          <w:color w:val="222222"/>
        </w:rPr>
        <w:t>Morada: Estrada da Circunvalação, 3504-505 Viseu</w:t>
      </w:r>
    </w:p>
    <w:p w14:paraId="13060396" w14:textId="77777777" w:rsidR="005D4129" w:rsidRDefault="00000000">
      <w:pPr>
        <w:spacing w:after="60"/>
        <w:jc w:val="both"/>
      </w:pPr>
      <w:r>
        <w:rPr>
          <w:color w:val="222222"/>
        </w:rPr>
        <w:t>Telefone: +351 232 419 500 (Chamada para rede fixa nacional) — Dr.ª Mónica Fernandes / Sr.ª Cristina Chaves.</w:t>
      </w:r>
    </w:p>
    <w:p w14:paraId="68C4542D" w14:textId="77777777" w:rsidR="005D4129" w:rsidRDefault="00000000">
      <w:pPr>
        <w:spacing w:after="60"/>
        <w:jc w:val="both"/>
      </w:pPr>
      <w:r>
        <w:rPr>
          <w:color w:val="222222"/>
        </w:rPr>
        <w:t>Email: cda.fmd.viseu@ucp.pt com o conhecimento da coordenadora ou rnoites@ucp.pt</w:t>
      </w:r>
    </w:p>
    <w:p w14:paraId="4EDE3583" w14:textId="77777777" w:rsidR="005D4129" w:rsidRDefault="00000000">
      <w:pPr>
        <w:spacing w:after="60"/>
        <w:jc w:val="both"/>
      </w:pPr>
      <w:r>
        <w:rPr>
          <w:color w:val="222222"/>
        </w:rPr>
        <w:t>Website: fmd.viseu.ucp.pt</w:t>
      </w:r>
    </w:p>
    <w:p w14:paraId="3DB7C366" w14:textId="77777777" w:rsidR="005D4129" w:rsidRDefault="00000000">
      <w:pPr>
        <w:spacing w:after="60"/>
        <w:jc w:val="both"/>
      </w:pPr>
      <w:r>
        <w:rPr>
          <w:color w:val="222222"/>
        </w:rPr>
        <w:lastRenderedPageBreak/>
        <w:t>Secretaria Académica: Serviços Académicos da Faculdade de Medicina Dentária da Universidade Católica Portuguesa.</w:t>
      </w:r>
    </w:p>
    <w:sectPr w:rsidR="005D412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66B3CD" w14:textId="77777777" w:rsidR="00303E3C" w:rsidRDefault="00303E3C">
      <w:r>
        <w:separator/>
      </w:r>
    </w:p>
  </w:endnote>
  <w:endnote w:type="continuationSeparator" w:id="0">
    <w:p w14:paraId="268A4AFB" w14:textId="77777777" w:rsidR="00303E3C" w:rsidRDefault="0030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D54893" w14:textId="77777777" w:rsidR="005D4129" w:rsidRDefault="00000000">
    <w:pPr>
      <w:pBdr>
        <w:top w:val="single" w:sz="4" w:space="4" w:color="CCCCCC"/>
      </w:pBdr>
      <w:jc w:val="center"/>
    </w:pPr>
    <w:r>
      <w:rPr>
        <w:i/>
        <w:iCs/>
        <w:color w:val="999999"/>
        <w:sz w:val="15"/>
        <w:szCs w:val="15"/>
      </w:rPr>
      <w:t xml:space="preserve">Técnicas e Materiais de Obturação em Endodontia — Microcredencial · </w:t>
    </w:r>
    <w:r>
      <w:rPr>
        <w:color w:val="999999"/>
        <w:sz w:val="15"/>
        <w:szCs w:val="15"/>
      </w:rPr>
      <w:t xml:space="preserve">Página </w:t>
    </w:r>
    <w:r>
      <w:rPr>
        <w:color w:val="999999"/>
        <w:sz w:val="15"/>
        <w:szCs w:val="15"/>
      </w:rPr>
      <w:fldChar w:fldCharType="begin"/>
    </w:r>
    <w:r>
      <w:rPr>
        <w:color w:val="999999"/>
        <w:sz w:val="15"/>
        <w:szCs w:val="15"/>
      </w:rPr>
      <w:instrText>PAGE</w:instrText>
    </w:r>
    <w:r>
      <w:rPr>
        <w:color w:val="999999"/>
        <w:sz w:val="15"/>
        <w:szCs w:val="15"/>
      </w:rPr>
      <w:fldChar w:fldCharType="separate"/>
    </w:r>
    <w:r w:rsidR="005F705B">
      <w:rPr>
        <w:noProof/>
        <w:color w:val="999999"/>
        <w:sz w:val="15"/>
        <w:szCs w:val="15"/>
      </w:rPr>
      <w:t>1</w:t>
    </w:r>
    <w:r>
      <w:rPr>
        <w:color w:val="999999"/>
        <w:sz w:val="15"/>
        <w:szCs w:val="15"/>
      </w:rPr>
      <w:fldChar w:fldCharType="end"/>
    </w:r>
    <w:r>
      <w:rPr>
        <w:color w:val="999999"/>
        <w:sz w:val="15"/>
        <w:szCs w:val="15"/>
      </w:rPr>
      <w:t xml:space="preserve"> de </w:t>
    </w:r>
    <w:r>
      <w:rPr>
        <w:color w:val="999999"/>
        <w:sz w:val="15"/>
        <w:szCs w:val="15"/>
      </w:rPr>
      <w:fldChar w:fldCharType="begin"/>
    </w:r>
    <w:r>
      <w:rPr>
        <w:color w:val="999999"/>
        <w:sz w:val="15"/>
        <w:szCs w:val="15"/>
      </w:rPr>
      <w:instrText>NUMPAGES</w:instrText>
    </w:r>
    <w:r>
      <w:rPr>
        <w:color w:val="999999"/>
        <w:sz w:val="15"/>
        <w:szCs w:val="15"/>
      </w:rPr>
      <w:fldChar w:fldCharType="separate"/>
    </w:r>
    <w:r w:rsidR="005F705B">
      <w:rPr>
        <w:noProof/>
        <w:color w:val="999999"/>
        <w:sz w:val="15"/>
        <w:szCs w:val="15"/>
      </w:rPr>
      <w:t>2</w:t>
    </w:r>
    <w:r>
      <w:rPr>
        <w:color w:val="999999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0F8542" w14:textId="77777777" w:rsidR="00303E3C" w:rsidRDefault="00303E3C">
      <w:r>
        <w:separator/>
      </w:r>
    </w:p>
  </w:footnote>
  <w:footnote w:type="continuationSeparator" w:id="0">
    <w:p w14:paraId="2BF9A149" w14:textId="77777777" w:rsidR="00303E3C" w:rsidRDefault="00303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742AE4" w14:textId="77777777" w:rsidR="005D4129" w:rsidRDefault="00000000">
    <w:pPr>
      <w:pBdr>
        <w:bottom w:val="single" w:sz="4" w:space="4" w:color="CCCCCC"/>
      </w:pBdr>
      <w:jc w:val="right"/>
    </w:pPr>
    <w:r>
      <w:rPr>
        <w:i/>
        <w:iCs/>
        <w:color w:val="999999"/>
        <w:sz w:val="15"/>
        <w:szCs w:val="15"/>
      </w:rPr>
      <w:t xml:space="preserve">Católica Dental </w:t>
    </w:r>
    <w:proofErr w:type="spellStart"/>
    <w:r>
      <w:rPr>
        <w:i/>
        <w:iCs/>
        <w:color w:val="999999"/>
        <w:sz w:val="15"/>
        <w:szCs w:val="15"/>
      </w:rPr>
      <w:t>Academy</w:t>
    </w:r>
    <w:proofErr w:type="spellEnd"/>
    <w:r>
      <w:rPr>
        <w:i/>
        <w:iCs/>
        <w:color w:val="999999"/>
        <w:sz w:val="15"/>
        <w:szCs w:val="15"/>
      </w:rPr>
      <w:t xml:space="preserve"> (CDA) · InovPed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7B78A3"/>
    <w:multiLevelType w:val="hybridMultilevel"/>
    <w:tmpl w:val="B278574C"/>
    <w:lvl w:ilvl="0" w:tplc="71706D96">
      <w:start w:val="1"/>
      <w:numFmt w:val="bullet"/>
      <w:lvlText w:val="●"/>
      <w:lvlJc w:val="left"/>
      <w:pPr>
        <w:ind w:left="720" w:hanging="360"/>
      </w:pPr>
    </w:lvl>
    <w:lvl w:ilvl="1" w:tplc="8CD07E34">
      <w:start w:val="1"/>
      <w:numFmt w:val="bullet"/>
      <w:lvlText w:val="○"/>
      <w:lvlJc w:val="left"/>
      <w:pPr>
        <w:ind w:left="1440" w:hanging="360"/>
      </w:pPr>
    </w:lvl>
    <w:lvl w:ilvl="2" w:tplc="194020E2">
      <w:start w:val="1"/>
      <w:numFmt w:val="bullet"/>
      <w:lvlText w:val="■"/>
      <w:lvlJc w:val="left"/>
      <w:pPr>
        <w:ind w:left="2160" w:hanging="360"/>
      </w:pPr>
    </w:lvl>
    <w:lvl w:ilvl="3" w:tplc="CD3E678E">
      <w:start w:val="1"/>
      <w:numFmt w:val="bullet"/>
      <w:lvlText w:val="●"/>
      <w:lvlJc w:val="left"/>
      <w:pPr>
        <w:ind w:left="2880" w:hanging="360"/>
      </w:pPr>
    </w:lvl>
    <w:lvl w:ilvl="4" w:tplc="44BC67E0">
      <w:start w:val="1"/>
      <w:numFmt w:val="bullet"/>
      <w:lvlText w:val="○"/>
      <w:lvlJc w:val="left"/>
      <w:pPr>
        <w:ind w:left="3600" w:hanging="360"/>
      </w:pPr>
    </w:lvl>
    <w:lvl w:ilvl="5" w:tplc="6A56D120">
      <w:start w:val="1"/>
      <w:numFmt w:val="bullet"/>
      <w:lvlText w:val="■"/>
      <w:lvlJc w:val="left"/>
      <w:pPr>
        <w:ind w:left="4320" w:hanging="360"/>
      </w:pPr>
    </w:lvl>
    <w:lvl w:ilvl="6" w:tplc="34A636DE">
      <w:start w:val="1"/>
      <w:numFmt w:val="bullet"/>
      <w:lvlText w:val="●"/>
      <w:lvlJc w:val="left"/>
      <w:pPr>
        <w:ind w:left="5040" w:hanging="360"/>
      </w:pPr>
    </w:lvl>
    <w:lvl w:ilvl="7" w:tplc="4FF4D170">
      <w:start w:val="1"/>
      <w:numFmt w:val="bullet"/>
      <w:lvlText w:val="●"/>
      <w:lvlJc w:val="left"/>
      <w:pPr>
        <w:ind w:left="5760" w:hanging="360"/>
      </w:pPr>
    </w:lvl>
    <w:lvl w:ilvl="8" w:tplc="6900815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6D52B2"/>
    <w:multiLevelType w:val="hybridMultilevel"/>
    <w:tmpl w:val="6616BFBA"/>
    <w:lvl w:ilvl="0" w:tplc="D696C37E">
      <w:start w:val="1"/>
      <w:numFmt w:val="bullet"/>
      <w:lvlText w:val="•"/>
      <w:lvlJc w:val="left"/>
      <w:pPr>
        <w:ind w:left="400" w:hanging="260"/>
      </w:pPr>
    </w:lvl>
    <w:lvl w:ilvl="1" w:tplc="46326F92">
      <w:numFmt w:val="decimal"/>
      <w:lvlText w:val=""/>
      <w:lvlJc w:val="left"/>
    </w:lvl>
    <w:lvl w:ilvl="2" w:tplc="9DDA651C">
      <w:numFmt w:val="decimal"/>
      <w:lvlText w:val=""/>
      <w:lvlJc w:val="left"/>
    </w:lvl>
    <w:lvl w:ilvl="3" w:tplc="3EA48948">
      <w:numFmt w:val="decimal"/>
      <w:lvlText w:val=""/>
      <w:lvlJc w:val="left"/>
    </w:lvl>
    <w:lvl w:ilvl="4" w:tplc="F5B23AD0">
      <w:numFmt w:val="decimal"/>
      <w:lvlText w:val=""/>
      <w:lvlJc w:val="left"/>
    </w:lvl>
    <w:lvl w:ilvl="5" w:tplc="BF20B17A">
      <w:numFmt w:val="decimal"/>
      <w:lvlText w:val=""/>
      <w:lvlJc w:val="left"/>
    </w:lvl>
    <w:lvl w:ilvl="6" w:tplc="04C6578A">
      <w:numFmt w:val="decimal"/>
      <w:lvlText w:val=""/>
      <w:lvlJc w:val="left"/>
    </w:lvl>
    <w:lvl w:ilvl="7" w:tplc="CF92AEE8">
      <w:numFmt w:val="decimal"/>
      <w:lvlText w:val=""/>
      <w:lvlJc w:val="left"/>
    </w:lvl>
    <w:lvl w:ilvl="8" w:tplc="6BEA9070">
      <w:numFmt w:val="decimal"/>
      <w:lvlText w:val=""/>
      <w:lvlJc w:val="left"/>
    </w:lvl>
  </w:abstractNum>
  <w:num w:numId="1" w16cid:durableId="314073718">
    <w:abstractNumId w:val="0"/>
    <w:lvlOverride w:ilvl="0">
      <w:startOverride w:val="1"/>
    </w:lvlOverride>
  </w:num>
  <w:num w:numId="2" w16cid:durableId="59070079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129"/>
    <w:rsid w:val="00303E3C"/>
    <w:rsid w:val="005D4129"/>
    <w:rsid w:val="005F705B"/>
    <w:rsid w:val="008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E0DEA5"/>
  <w15:docId w15:val="{BFBF21CE-C73E-D54B-90F1-A969E465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161F354F0CCA44A24F7C97B137DC11" ma:contentTypeVersion="7" ma:contentTypeDescription="Criar um novo documento." ma:contentTypeScope="" ma:versionID="ae8b5345579be3608e871d59150e304c">
  <xsd:schema xmlns:xsd="http://www.w3.org/2001/XMLSchema" xmlns:xs="http://www.w3.org/2001/XMLSchema" xmlns:p="http://schemas.microsoft.com/office/2006/metadata/properties" xmlns:ns2="7a0f4747-012a-4ee3-aaf7-99d529796b4d" targetNamespace="http://schemas.microsoft.com/office/2006/metadata/properties" ma:root="true" ma:fieldsID="85693ed6f64449998dcaeaf9f848afb1" ns2:_="">
    <xsd:import namespace="7a0f4747-012a-4ee3-aaf7-99d529796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f4747-012a-4ee3-aaf7-99d529796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D6597A-32B0-4595-9B34-288A813C7720}"/>
</file>

<file path=customXml/itemProps2.xml><?xml version="1.0" encoding="utf-8"?>
<ds:datastoreItem xmlns:ds="http://schemas.openxmlformats.org/officeDocument/2006/customXml" ds:itemID="{4261238D-0FAE-4C0D-A26E-E42912FD3275}"/>
</file>

<file path=customXml/itemProps3.xml><?xml version="1.0" encoding="utf-8"?>
<ds:datastoreItem xmlns:ds="http://schemas.openxmlformats.org/officeDocument/2006/customXml" ds:itemID="{5C74029C-7A41-4C7B-925B-76DA44E038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1657</Words>
  <Characters>8951</Characters>
  <Application>Microsoft Office Word</Application>
  <DocSecurity>0</DocSecurity>
  <Lines>74</Lines>
  <Paragraphs>21</Paragraphs>
  <ScaleCrop>false</ScaleCrop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Marlene Barros</cp:lastModifiedBy>
  <cp:revision>2</cp:revision>
  <dcterms:created xsi:type="dcterms:W3CDTF">2026-07-20T11:50:00Z</dcterms:created>
  <dcterms:modified xsi:type="dcterms:W3CDTF">2026-07-20T11:50:00Z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0x010100CC161F354F0CCA44A24F7C97B137DC11</vt:lpwstr>
  </property>
</Properties>
</file>